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2AB1" w14:textId="214B0776" w:rsidR="00391AD4" w:rsidRDefault="00391AD4" w:rsidP="00391AD4">
      <w:r w:rsidRPr="00190F87">
        <w:rPr>
          <w:b/>
          <w:bCs/>
        </w:rPr>
        <w:t>Iper-ammortamento 2026</w:t>
      </w:r>
      <w:r>
        <w:t xml:space="preserve"> - 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 xml:space="preserve">Opportunità per </w:t>
      </w:r>
      <w:r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 xml:space="preserve">nuovi 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sistemi di avvitatura</w:t>
      </w:r>
    </w:p>
    <w:p w14:paraId="6F157B8D" w14:textId="77777777" w:rsidR="00391AD4" w:rsidRDefault="00391AD4" w:rsidP="00391AD4">
      <w:pPr>
        <w:rPr>
          <w:rFonts w:cstheme="minorHAnsi"/>
        </w:rPr>
      </w:pPr>
    </w:p>
    <w:p w14:paraId="2631B35B" w14:textId="77777777" w:rsidR="00391AD4" w:rsidRDefault="00391AD4" w:rsidP="00391AD4">
      <w:pPr>
        <w:rPr>
          <w:rFonts w:cstheme="minorHAnsi"/>
        </w:rPr>
      </w:pPr>
    </w:p>
    <w:p w14:paraId="5BBA6986" w14:textId="77777777" w:rsidR="00391AD4" w:rsidRPr="006A27E8" w:rsidRDefault="00391AD4" w:rsidP="00391AD4">
      <w:pPr>
        <w:rPr>
          <w:rFonts w:cstheme="minorHAnsi"/>
        </w:rPr>
      </w:pPr>
    </w:p>
    <w:p w14:paraId="196F0DC0" w14:textId="77777777" w:rsidR="00391AD4" w:rsidRPr="006A27E8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  <w:r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Con l’Iper-ammortamento c’è l’o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 xml:space="preserve">pportunità fiscale per investire nei tuoi </w:t>
      </w:r>
      <w:r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 xml:space="preserve">nuovi 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sistemi di avvitatura</w:t>
      </w:r>
    </w:p>
    <w:p w14:paraId="546F50F2" w14:textId="77777777" w:rsidR="00391AD4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</w:p>
    <w:p w14:paraId="4D8137B8" w14:textId="77777777" w:rsidR="00391AD4" w:rsidRPr="006A27E8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  <w:r>
        <w:rPr>
          <w:rFonts w:eastAsia="Times New Roman" w:cstheme="minorHAnsi"/>
          <w:color w:val="242424"/>
          <w:sz w:val="22"/>
          <w:szCs w:val="22"/>
          <w:lang w:eastAsia="it-IT"/>
        </w:rPr>
        <w:t>C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on l’entrata in vigore della 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Legge di Bilancio 2026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, torna un incentivo fiscale molto interessante per le imprese che investono in 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beni strumentali tecnologici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, come i nostri sistemi di avvitatura: si tratta del 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nuovo </w:t>
      </w:r>
      <w:r w:rsidRPr="006A27E8">
        <w:rPr>
          <w:rFonts w:eastAsia="Times New Roman" w:cstheme="minorHAnsi"/>
          <w:b/>
          <w:bCs/>
          <w:i/>
          <w:iCs/>
          <w:color w:val="242424"/>
          <w:sz w:val="22"/>
          <w:szCs w:val="22"/>
          <w:lang w:eastAsia="it-IT"/>
        </w:rPr>
        <w:t>iper-ammortamento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, che può generare un 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significativo risparmio fiscale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 sugli investimenti effettuati nel corso del 2026.</w:t>
      </w:r>
    </w:p>
    <w:p w14:paraId="71436595" w14:textId="77777777" w:rsidR="00391AD4" w:rsidRDefault="00391AD4" w:rsidP="00391AD4">
      <w:pPr>
        <w:rPr>
          <w:rFonts w:eastAsia="Times New Roman" w:cstheme="minorHAnsi"/>
          <w:color w:val="242424"/>
          <w:sz w:val="22"/>
          <w:szCs w:val="22"/>
          <w:bdr w:val="none" w:sz="0" w:space="0" w:color="auto" w:frame="1"/>
          <w:lang w:eastAsia="it-IT"/>
        </w:rPr>
      </w:pPr>
    </w:p>
    <w:p w14:paraId="419CF9DE" w14:textId="77777777" w:rsidR="00391AD4" w:rsidRPr="006A27E8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Che cos’è l’iper-ammortamento 2026</w:t>
      </w:r>
    </w:p>
    <w:p w14:paraId="3E2A9357" w14:textId="77777777" w:rsidR="00391AD4" w:rsidRPr="006A27E8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L’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iper-ammortamento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 è un’agevolazione fiscale che 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consente alle imprese di maggiorare il costo fiscale di acquisto di nuovi beni strumentali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, aumentandone la quota deducibile ai fini IRES/IRPEF. Non si tratta di un credito d’imposta, ma di una 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maggiorazione del valore fiscalmente rilevante del bene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.</w:t>
      </w:r>
    </w:p>
    <w:p w14:paraId="02633458" w14:textId="77777777" w:rsidR="00391AD4" w:rsidRPr="006A27E8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In pratica, per beni acquistati nel 2026 e destinati all’attività produttiva, il costo da ammortizzare ai fini fiscali può essere 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maggiorato fino a +180%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 — con evidenti benefici sul reddito imponibile e quindi sul carico fiscale.</w:t>
      </w:r>
    </w:p>
    <w:p w14:paraId="32DBCF3D" w14:textId="77777777" w:rsidR="00391AD4" w:rsidRDefault="00391AD4" w:rsidP="00391AD4">
      <w:pPr>
        <w:rPr>
          <w:rFonts w:eastAsia="Times New Roman" w:cstheme="minorHAnsi"/>
          <w:color w:val="242424"/>
          <w:sz w:val="22"/>
          <w:szCs w:val="22"/>
          <w:bdr w:val="none" w:sz="0" w:space="0" w:color="auto" w:frame="1"/>
          <w:lang w:eastAsia="it-IT"/>
        </w:rPr>
      </w:pPr>
    </w:p>
    <w:p w14:paraId="35AA24A4" w14:textId="77777777" w:rsidR="00391AD4" w:rsidRPr="006A27E8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Tempistiche utili</w:t>
      </w:r>
    </w:p>
    <w:p w14:paraId="5B4C6B03" w14:textId="77777777" w:rsidR="00391AD4" w:rsidRPr="006A27E8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Gli investimenti devono essere effettuati 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dal 1° gennaio 2026 fino al 30 settembre 2028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 per poter beneficiare dell’iper-ammortamento.</w:t>
      </w:r>
    </w:p>
    <w:p w14:paraId="1DB23E37" w14:textId="77777777" w:rsidR="00391AD4" w:rsidRPr="006A27E8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Questo offre una finestra temporale significativa per 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progettare e realizzare nuovi investimenti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 xml:space="preserve"> in impianti e tecnologie produttive, compresi i </w:t>
      </w:r>
      <w:r>
        <w:rPr>
          <w:rFonts w:eastAsia="Times New Roman" w:cstheme="minorHAnsi"/>
          <w:color w:val="242424"/>
          <w:sz w:val="22"/>
          <w:szCs w:val="22"/>
          <w:lang w:eastAsia="it-IT"/>
        </w:rPr>
        <w:t>n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ostri sistemi di avvitatura.</w:t>
      </w:r>
    </w:p>
    <w:p w14:paraId="5A097B93" w14:textId="77777777" w:rsidR="00391AD4" w:rsidRDefault="00391AD4" w:rsidP="00391AD4">
      <w:pPr>
        <w:rPr>
          <w:rFonts w:eastAsia="Times New Roman" w:cstheme="minorHAnsi"/>
          <w:color w:val="242424"/>
          <w:sz w:val="22"/>
          <w:szCs w:val="22"/>
          <w:bdr w:val="none" w:sz="0" w:space="0" w:color="auto" w:frame="1"/>
          <w:lang w:eastAsia="it-IT"/>
        </w:rPr>
      </w:pPr>
    </w:p>
    <w:p w14:paraId="38D6AE10" w14:textId="77777777" w:rsidR="00391AD4" w:rsidRPr="006A27E8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Perché conviene puntare su un investimento ora</w:t>
      </w:r>
    </w:p>
    <w:p w14:paraId="1EE078BA" w14:textId="77777777" w:rsidR="00391AD4" w:rsidRPr="006A27E8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  <w:r w:rsidRPr="006A27E8">
        <w:rPr>
          <w:rFonts w:ascii="Apple Color Emoji" w:eastAsia="Times New Roman" w:hAnsi="Apple Color Emoji" w:cs="Apple Color Emoji"/>
          <w:color w:val="242424"/>
          <w:sz w:val="22"/>
          <w:szCs w:val="22"/>
          <w:bdr w:val="none" w:sz="0" w:space="0" w:color="auto" w:frame="1"/>
          <w:lang w:eastAsia="it-IT"/>
        </w:rPr>
        <w:t>✔️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 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Riduzione dell’imponibile fiscale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 e quindi dei tributi da pagare nei prossimi anni;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br/>
      </w:r>
      <w:r w:rsidRPr="006A27E8">
        <w:rPr>
          <w:rFonts w:ascii="Apple Color Emoji" w:eastAsia="Times New Roman" w:hAnsi="Apple Color Emoji" w:cs="Apple Color Emoji"/>
          <w:color w:val="242424"/>
          <w:sz w:val="22"/>
          <w:szCs w:val="22"/>
          <w:bdr w:val="none" w:sz="0" w:space="0" w:color="auto" w:frame="1"/>
          <w:lang w:eastAsia="it-IT"/>
        </w:rPr>
        <w:t>✔️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 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Maggiore competitività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 grazie all’innovazione dei processi produttivi;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br/>
      </w:r>
      <w:r w:rsidRPr="006A27E8">
        <w:rPr>
          <w:rFonts w:ascii="Apple Color Emoji" w:eastAsia="Times New Roman" w:hAnsi="Apple Color Emoji" w:cs="Apple Color Emoji"/>
          <w:color w:val="242424"/>
          <w:sz w:val="22"/>
          <w:szCs w:val="22"/>
          <w:bdr w:val="none" w:sz="0" w:space="0" w:color="auto" w:frame="1"/>
          <w:lang w:eastAsia="it-IT"/>
        </w:rPr>
        <w:t>✔️</w:t>
      </w:r>
      <w:r w:rsidRPr="006A27E8">
        <w:rPr>
          <w:rFonts w:eastAsia="Times New Roman" w:cstheme="minorHAnsi"/>
          <w:color w:val="242424"/>
          <w:sz w:val="22"/>
          <w:szCs w:val="22"/>
          <w:lang w:eastAsia="it-IT"/>
        </w:rPr>
        <w:t> Opportunità di combinare l’iper-ammortamento con altri incentivi (salvo incompatibilità su medesime quote di costo).</w:t>
      </w:r>
    </w:p>
    <w:p w14:paraId="2484340A" w14:textId="77777777" w:rsidR="00391AD4" w:rsidRDefault="00391AD4" w:rsidP="00391AD4">
      <w:pPr>
        <w:rPr>
          <w:rFonts w:eastAsia="Times New Roman" w:cstheme="minorHAnsi"/>
          <w:color w:val="242424"/>
          <w:sz w:val="22"/>
          <w:szCs w:val="22"/>
          <w:bdr w:val="none" w:sz="0" w:space="0" w:color="auto" w:frame="1"/>
          <w:lang w:eastAsia="it-IT"/>
        </w:rPr>
      </w:pPr>
    </w:p>
    <w:p w14:paraId="7ECD2D82" w14:textId="77777777" w:rsidR="00391AD4" w:rsidRPr="006A27E8" w:rsidRDefault="00391AD4" w:rsidP="00391AD4">
      <w:pPr>
        <w:rPr>
          <w:rFonts w:eastAsia="Times New Roman" w:cstheme="minorHAnsi"/>
          <w:color w:val="242424"/>
          <w:sz w:val="22"/>
          <w:szCs w:val="22"/>
          <w:lang w:eastAsia="it-IT"/>
        </w:rPr>
      </w:pP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Not</w:t>
      </w:r>
      <w:r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e</w:t>
      </w:r>
      <w:r w:rsidRPr="006A27E8"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 xml:space="preserve"> important</w:t>
      </w:r>
      <w:r>
        <w:rPr>
          <w:rFonts w:eastAsia="Times New Roman" w:cstheme="minorHAnsi"/>
          <w:b/>
          <w:bCs/>
          <w:color w:val="242424"/>
          <w:sz w:val="22"/>
          <w:szCs w:val="22"/>
          <w:lang w:eastAsia="it-IT"/>
        </w:rPr>
        <w:t>i</w:t>
      </w:r>
    </w:p>
    <w:p w14:paraId="2057D82D" w14:textId="77777777" w:rsidR="00391AD4" w:rsidRPr="006A27E8" w:rsidRDefault="00391AD4" w:rsidP="00391AD4">
      <w:pPr>
        <w:rPr>
          <w:rFonts w:cstheme="minorHAnsi"/>
          <w:color w:val="000000" w:themeColor="text1"/>
          <w:sz w:val="22"/>
          <w:szCs w:val="22"/>
          <w:lang w:eastAsia="it-IT"/>
        </w:rPr>
      </w:pPr>
      <w:r w:rsidRPr="006A27E8">
        <w:rPr>
          <w:rFonts w:cstheme="minorHAnsi"/>
          <w:color w:val="000000" w:themeColor="text1"/>
          <w:sz w:val="22"/>
          <w:szCs w:val="22"/>
          <w:lang w:eastAsia="it-IT"/>
        </w:rPr>
        <w:t>Per massimizzare i benefici è consigliabile confrontarsi con il proprio commercialista o consulente fiscale prima di pianificare l’acquisto.</w:t>
      </w:r>
    </w:p>
    <w:p w14:paraId="650D0B3D" w14:textId="77777777" w:rsidR="00391AD4" w:rsidRPr="006A27E8" w:rsidRDefault="00391AD4" w:rsidP="00391AD4">
      <w:pPr>
        <w:rPr>
          <w:rFonts w:cstheme="minorHAnsi"/>
          <w:color w:val="000000" w:themeColor="text1"/>
          <w:sz w:val="22"/>
          <w:szCs w:val="22"/>
          <w:lang w:eastAsia="it-IT"/>
        </w:rPr>
      </w:pPr>
    </w:p>
    <w:p w14:paraId="40751BA5" w14:textId="77777777" w:rsidR="00391AD4" w:rsidRPr="006A27E8" w:rsidRDefault="00391AD4" w:rsidP="00391AD4">
      <w:pPr>
        <w:rPr>
          <w:rFonts w:cstheme="minorHAnsi"/>
          <w:color w:val="000000" w:themeColor="text1"/>
          <w:sz w:val="22"/>
          <w:szCs w:val="22"/>
          <w:lang w:eastAsia="it-IT"/>
        </w:rPr>
      </w:pPr>
      <w:r w:rsidRPr="006A27E8">
        <w:rPr>
          <w:rFonts w:cstheme="minorHAnsi"/>
          <w:color w:val="000000" w:themeColor="text1"/>
          <w:sz w:val="22"/>
          <w:szCs w:val="22"/>
          <w:bdr w:val="none" w:sz="0" w:space="0" w:color="auto" w:frame="1"/>
          <w:lang w:eastAsia="it-IT"/>
        </w:rPr>
        <w:t>Gli investimenti devono riguardare l'acquisto di beni strumentali nuovi destinati a strutture produttive ubicate nel territorio dello Stato.</w:t>
      </w:r>
    </w:p>
    <w:p w14:paraId="67B265C7" w14:textId="77777777" w:rsidR="00391AD4" w:rsidRPr="006A27E8" w:rsidRDefault="00391AD4" w:rsidP="00391AD4">
      <w:pPr>
        <w:rPr>
          <w:rFonts w:cstheme="minorHAnsi"/>
          <w:color w:val="000000" w:themeColor="text1"/>
          <w:sz w:val="22"/>
          <w:szCs w:val="22"/>
          <w:lang w:eastAsia="it-IT"/>
        </w:rPr>
      </w:pPr>
    </w:p>
    <w:p w14:paraId="41F75F28" w14:textId="77777777" w:rsidR="00391AD4" w:rsidRDefault="00391AD4" w:rsidP="00391AD4">
      <w:pPr>
        <w:rPr>
          <w:rFonts w:cstheme="minorHAnsi"/>
          <w:color w:val="000000" w:themeColor="text1"/>
          <w:sz w:val="22"/>
          <w:szCs w:val="22"/>
          <w:lang w:eastAsia="it-IT"/>
        </w:rPr>
      </w:pPr>
      <w:r w:rsidRPr="006A27E8">
        <w:rPr>
          <w:rFonts w:cstheme="minorHAnsi"/>
          <w:color w:val="000000" w:themeColor="text1"/>
          <w:sz w:val="22"/>
          <w:szCs w:val="22"/>
          <w:lang w:eastAsia="it-IT"/>
        </w:rPr>
        <w:t>Le pratiche devono essere svolte dai vostri Uffici Amministrativi o Commercialisti.</w:t>
      </w:r>
    </w:p>
    <w:p w14:paraId="4A0A4F88" w14:textId="77777777" w:rsidR="00391AD4" w:rsidRDefault="00391AD4" w:rsidP="00391AD4">
      <w:pPr>
        <w:rPr>
          <w:rFonts w:cstheme="minorHAnsi"/>
          <w:sz w:val="22"/>
          <w:szCs w:val="22"/>
          <w:lang w:eastAsia="it-IT"/>
        </w:rPr>
      </w:pPr>
    </w:p>
    <w:p w14:paraId="0899F19F" w14:textId="77777777" w:rsidR="00391AD4" w:rsidRDefault="00391AD4" w:rsidP="00391AD4">
      <w:pPr>
        <w:rPr>
          <w:rFonts w:cstheme="minorHAnsi"/>
          <w:sz w:val="22"/>
          <w:szCs w:val="22"/>
          <w:lang w:eastAsia="it-IT"/>
        </w:rPr>
      </w:pPr>
    </w:p>
    <w:p w14:paraId="40DB9842" w14:textId="5134B864" w:rsidR="00BF083A" w:rsidRDefault="00BF083A" w:rsidP="00155614"/>
    <w:sectPr w:rsidR="00BF083A" w:rsidSect="00155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53" w:right="1134" w:bottom="308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E4CC" w14:textId="77777777" w:rsidR="00E928C9" w:rsidRDefault="00E928C9" w:rsidP="00C0314B">
      <w:r>
        <w:separator/>
      </w:r>
    </w:p>
  </w:endnote>
  <w:endnote w:type="continuationSeparator" w:id="0">
    <w:p w14:paraId="3304590F" w14:textId="77777777" w:rsidR="00E928C9" w:rsidRDefault="00E928C9" w:rsidP="00C0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5A5F" w14:textId="77777777" w:rsidR="00236AFC" w:rsidRDefault="00236A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F870" w14:textId="77777777" w:rsidR="00236AFC" w:rsidRDefault="00236A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59D2" w14:textId="77777777" w:rsidR="00236AFC" w:rsidRDefault="00236A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9BB3" w14:textId="77777777" w:rsidR="00E928C9" w:rsidRDefault="00E928C9" w:rsidP="00C0314B">
      <w:r>
        <w:separator/>
      </w:r>
    </w:p>
  </w:footnote>
  <w:footnote w:type="continuationSeparator" w:id="0">
    <w:p w14:paraId="7EC2BC86" w14:textId="77777777" w:rsidR="00E928C9" w:rsidRDefault="00E928C9" w:rsidP="00C0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5F70" w14:textId="77777777" w:rsidR="00236AFC" w:rsidRDefault="00236A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E729" w14:textId="77777777" w:rsidR="00C0314B" w:rsidRDefault="00D462F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56B987B4" wp14:editId="656A31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752" cy="10685297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752" cy="10685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721D" w14:textId="77777777" w:rsidR="00236AFC" w:rsidRDefault="00236A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4B"/>
    <w:rsid w:val="00087F7E"/>
    <w:rsid w:val="00155614"/>
    <w:rsid w:val="00236AFC"/>
    <w:rsid w:val="00391AD4"/>
    <w:rsid w:val="004410DB"/>
    <w:rsid w:val="005510A3"/>
    <w:rsid w:val="00586333"/>
    <w:rsid w:val="005B7996"/>
    <w:rsid w:val="0061288D"/>
    <w:rsid w:val="006A5749"/>
    <w:rsid w:val="007007A4"/>
    <w:rsid w:val="007C167D"/>
    <w:rsid w:val="007D2AF4"/>
    <w:rsid w:val="00850A6D"/>
    <w:rsid w:val="008F27B6"/>
    <w:rsid w:val="009909DF"/>
    <w:rsid w:val="009C3FF9"/>
    <w:rsid w:val="00A204B4"/>
    <w:rsid w:val="00AF00B5"/>
    <w:rsid w:val="00B02EE4"/>
    <w:rsid w:val="00B052B6"/>
    <w:rsid w:val="00B626F5"/>
    <w:rsid w:val="00BF083A"/>
    <w:rsid w:val="00C0314B"/>
    <w:rsid w:val="00C5417E"/>
    <w:rsid w:val="00D462FC"/>
    <w:rsid w:val="00E047CA"/>
    <w:rsid w:val="00E928C9"/>
    <w:rsid w:val="00F161A3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0A2D"/>
  <w15:docId w15:val="{8B8A5448-F519-044F-B137-0C5DC8A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09DF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3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14B"/>
  </w:style>
  <w:style w:type="paragraph" w:styleId="Pidipagina">
    <w:name w:val="footer"/>
    <w:basedOn w:val="Normale"/>
    <w:link w:val="PidipaginaCarattere"/>
    <w:uiPriority w:val="99"/>
    <w:unhideWhenUsed/>
    <w:rsid w:val="00C03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801472-DFCB-7F4D-99A1-89BB6E2F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Microsoft Office User</cp:lastModifiedBy>
  <cp:revision>2</cp:revision>
  <cp:lastPrinted>2019-02-28T13:09:00Z</cp:lastPrinted>
  <dcterms:created xsi:type="dcterms:W3CDTF">2026-02-03T09:46:00Z</dcterms:created>
  <dcterms:modified xsi:type="dcterms:W3CDTF">2026-02-03T09:46:00Z</dcterms:modified>
</cp:coreProperties>
</file>